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B2" w:rsidRDefault="001D3309">
      <w:pPr>
        <w:spacing w:before="240" w:after="24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D31DB2" w:rsidRDefault="00D31DB2">
      <w:pPr>
        <w:spacing w:before="240" w:after="240"/>
        <w:jc w:val="center"/>
        <w:rPr>
          <w:rFonts w:ascii="Arial" w:eastAsia="Arial" w:hAnsi="Arial" w:cs="Arial"/>
          <w:b/>
          <w:sz w:val="28"/>
          <w:szCs w:val="28"/>
        </w:rPr>
      </w:pPr>
    </w:p>
    <w:p w:rsidR="00D31DB2" w:rsidRDefault="00D31DB2">
      <w:pPr>
        <w:spacing w:before="240" w:after="240"/>
        <w:jc w:val="center"/>
        <w:rPr>
          <w:rFonts w:ascii="Arial" w:eastAsia="Arial" w:hAnsi="Arial" w:cs="Arial"/>
          <w:b/>
          <w:sz w:val="28"/>
          <w:szCs w:val="28"/>
        </w:rPr>
      </w:pPr>
    </w:p>
    <w:p w:rsidR="00D31DB2" w:rsidRDefault="00D31DB2">
      <w:pPr>
        <w:spacing w:before="240" w:after="240"/>
        <w:jc w:val="center"/>
        <w:rPr>
          <w:rFonts w:ascii="Arial" w:eastAsia="Arial" w:hAnsi="Arial" w:cs="Arial"/>
          <w:b/>
          <w:sz w:val="28"/>
          <w:szCs w:val="28"/>
        </w:rPr>
      </w:pPr>
    </w:p>
    <w:p w:rsidR="00D31DB2" w:rsidRDefault="00D31DB2">
      <w:pPr>
        <w:spacing w:before="240" w:after="240"/>
        <w:jc w:val="center"/>
        <w:rPr>
          <w:rFonts w:ascii="Arial" w:eastAsia="Arial" w:hAnsi="Arial" w:cs="Arial"/>
          <w:b/>
          <w:sz w:val="28"/>
          <w:szCs w:val="28"/>
        </w:rPr>
      </w:pPr>
    </w:p>
    <w:p w:rsidR="00D31DB2" w:rsidRDefault="00D31DB2">
      <w:pPr>
        <w:spacing w:before="240" w:after="240"/>
        <w:jc w:val="center"/>
        <w:rPr>
          <w:rFonts w:ascii="Arial" w:eastAsia="Arial" w:hAnsi="Arial" w:cs="Arial"/>
          <w:b/>
          <w:sz w:val="28"/>
          <w:szCs w:val="28"/>
        </w:rPr>
      </w:pPr>
    </w:p>
    <w:p w:rsidR="007E27B2" w:rsidRDefault="001D3309">
      <w:pPr>
        <w:spacing w:before="240" w:after="24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METODOLOŠKI KOMENTARI NA</w:t>
      </w:r>
    </w:p>
    <w:p w:rsidR="007E27B2" w:rsidRDefault="001D3309">
      <w:pPr>
        <w:spacing w:before="240" w:after="24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IZVEŠTAJ REGULATORNOG TELA ZA ELEKTRONSKE MEDIJE</w:t>
      </w:r>
    </w:p>
    <w:p w:rsidR="007E27B2" w:rsidRDefault="001D3309">
      <w:pPr>
        <w:spacing w:before="240" w:after="24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</w:t>
      </w:r>
    </w:p>
    <w:p w:rsidR="007E27B2" w:rsidRDefault="001D3309">
      <w:pPr>
        <w:spacing w:before="240" w:after="24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IZVEŠTAVANJU</w:t>
      </w:r>
    </w:p>
    <w:p w:rsidR="007E27B2" w:rsidRDefault="001D3309">
      <w:pPr>
        <w:spacing w:before="240" w:after="24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MONITORISANIH PRUŽALACA MEDIJSKIH USLUGA</w:t>
      </w:r>
    </w:p>
    <w:p w:rsidR="007E27B2" w:rsidRDefault="001D3309">
      <w:pPr>
        <w:spacing w:before="240" w:after="24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TOKOM IZBORNE KAMPANJE</w:t>
      </w:r>
    </w:p>
    <w:p w:rsidR="007E27B2" w:rsidRDefault="001D3309">
      <w:pPr>
        <w:spacing w:before="240" w:after="24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ZA PERIOD 15.2. do 31.3. 2022.</w:t>
      </w:r>
      <w:r>
        <w:br w:type="page"/>
      </w:r>
    </w:p>
    <w:p w:rsidR="007E27B2" w:rsidRDefault="001D3309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  </w:t>
      </w:r>
    </w:p>
    <w:p w:rsidR="007E27B2" w:rsidRDefault="001D3309">
      <w:pPr>
        <w:spacing w:before="240" w:after="240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Biro za društvena istraživanja je sproveo metodološku analizu izveštaja REM-a o izveštavanju pružalaca medijskih usluga tokom izborne kampanje 2022. godine i zaključio: </w:t>
      </w:r>
    </w:p>
    <w:p w:rsidR="007E27B2" w:rsidRDefault="001D3309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1-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Regulatorno za elektronske medije (REM) je u svom izveštaju citirajući članove Zako</w:t>
      </w:r>
      <w:r>
        <w:rPr>
          <w:rFonts w:ascii="Arial" w:eastAsia="Arial" w:hAnsi="Arial" w:cs="Arial"/>
          <w:sz w:val="20"/>
          <w:szCs w:val="20"/>
        </w:rPr>
        <w:t>na o elektronskim medijima 22 i 25 priznalo da ima, odnosno da je imalo, zakonsku obavezu da sprovodi monitoring pružalaca medijskih usluga. Ranije date izjave članova Saveta REM-a o nejasnoći o postojanju zakonske obaveze pre svega 2016 i 2020. godine nis</w:t>
      </w:r>
      <w:r>
        <w:rPr>
          <w:rFonts w:ascii="Arial" w:eastAsia="Arial" w:hAnsi="Arial" w:cs="Arial"/>
          <w:sz w:val="20"/>
          <w:szCs w:val="20"/>
        </w:rPr>
        <w:t>u bila u saglasiju sa zakonskim obavezama REM-a.</w:t>
      </w:r>
    </w:p>
    <w:p w:rsidR="007E27B2" w:rsidRDefault="001D3309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2-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 priloženog REM opisa metodologije nije jasno na osnovu kojeg normativnog akta (zakona ili pravilnika) je formiran uzorak pružalaca medijskih usluga, koji su bili predmet monitoringa, ali i zašto je uz</w:t>
      </w:r>
      <w:r>
        <w:rPr>
          <w:rFonts w:ascii="Arial" w:eastAsia="Arial" w:hAnsi="Arial" w:cs="Arial"/>
          <w:sz w:val="20"/>
          <w:szCs w:val="20"/>
        </w:rPr>
        <w:t>orak umanjen u odnosu na 2012. godinu kada su monitorisane regionalne i lokalne TV i radio stanice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2"/>
      </w:r>
      <w:r>
        <w:rPr>
          <w:rFonts w:ascii="Arial" w:eastAsia="Arial" w:hAnsi="Arial" w:cs="Arial"/>
          <w:sz w:val="20"/>
          <w:szCs w:val="20"/>
        </w:rPr>
        <w:t>. Isti uzorak uz metodološki opravdane korekcije bi omogućio uvid u promene koje su se desile tokom perioda od kada REM vrši monitorng izveštavanja pružalaca</w:t>
      </w:r>
      <w:r>
        <w:rPr>
          <w:rFonts w:ascii="Arial" w:eastAsia="Arial" w:hAnsi="Arial" w:cs="Arial"/>
          <w:sz w:val="20"/>
          <w:szCs w:val="20"/>
        </w:rPr>
        <w:t xml:space="preserve"> medijski usluga. </w:t>
      </w:r>
    </w:p>
    <w:p w:rsidR="007E27B2" w:rsidRDefault="001D3309">
      <w:pPr>
        <w:spacing w:before="240" w:after="240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REM se u svojem izveštaju poziva na OSCE vodič za monitoring medija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3"/>
      </w:r>
      <w:r>
        <w:rPr>
          <w:rFonts w:ascii="Arial" w:eastAsia="Arial" w:hAnsi="Arial" w:cs="Arial"/>
          <w:sz w:val="20"/>
          <w:szCs w:val="20"/>
        </w:rPr>
        <w:t xml:space="preserve"> u kojem se pri formiranju uzorka mora imati u vidu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4"/>
      </w:r>
      <w:r>
        <w:rPr>
          <w:rFonts w:ascii="Arial" w:eastAsia="Arial" w:hAnsi="Arial" w:cs="Arial"/>
          <w:sz w:val="20"/>
          <w:szCs w:val="20"/>
        </w:rPr>
        <w:t>:</w:t>
      </w:r>
    </w:p>
    <w:p w:rsidR="007E27B2" w:rsidRDefault="001D3309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  <w:t>·</w:t>
      </w:r>
      <w:r>
        <w:rPr>
          <w:rFonts w:ascii="Times New Roman" w:eastAsia="Times New Roman" w:hAnsi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sz w:val="20"/>
          <w:szCs w:val="20"/>
        </w:rPr>
        <w:t>Broj i raznovrsnost medijskih kuća koje rade u zemlji;</w:t>
      </w:r>
    </w:p>
    <w:p w:rsidR="007E27B2" w:rsidRDefault="001D3309">
      <w:pPr>
        <w:spacing w:before="240" w:after="240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·</w:t>
      </w:r>
      <w:r>
        <w:rPr>
          <w:rFonts w:ascii="Times New Roman" w:eastAsia="Times New Roman" w:hAnsi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sz w:val="20"/>
          <w:szCs w:val="20"/>
        </w:rPr>
        <w:t>Vlasništvo nad medijima (javni/d</w:t>
      </w:r>
      <w:r>
        <w:rPr>
          <w:rFonts w:ascii="Arial" w:eastAsia="Arial" w:hAnsi="Arial" w:cs="Arial"/>
          <w:sz w:val="20"/>
          <w:szCs w:val="20"/>
        </w:rPr>
        <w:t>ržavni ili privatni);</w:t>
      </w:r>
    </w:p>
    <w:p w:rsidR="007E27B2" w:rsidRDefault="001D3309">
      <w:pPr>
        <w:spacing w:before="240" w:after="240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·</w:t>
      </w:r>
      <w:r>
        <w:rPr>
          <w:rFonts w:ascii="Times New Roman" w:eastAsia="Times New Roman" w:hAnsi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sz w:val="20"/>
          <w:szCs w:val="20"/>
        </w:rPr>
        <w:t>Geografska pokrivenost (mediji na nacionalnom ili lokalnom nivou);</w:t>
      </w:r>
    </w:p>
    <w:p w:rsidR="007E27B2" w:rsidRDefault="001D3309">
      <w:pPr>
        <w:spacing w:before="240" w:after="240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·</w:t>
      </w:r>
      <w:r>
        <w:rPr>
          <w:rFonts w:ascii="Times New Roman" w:eastAsia="Times New Roman" w:hAnsi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sz w:val="20"/>
          <w:szCs w:val="20"/>
        </w:rPr>
        <w:t>Ocene medija od strane publike/čitalaca;</w:t>
      </w:r>
    </w:p>
    <w:p w:rsidR="007E27B2" w:rsidRDefault="001D3309">
      <w:pPr>
        <w:spacing w:before="240" w:after="240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·</w:t>
      </w:r>
      <w:r>
        <w:rPr>
          <w:rFonts w:ascii="Times New Roman" w:eastAsia="Times New Roman" w:hAnsi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sz w:val="20"/>
          <w:szCs w:val="20"/>
        </w:rPr>
        <w:t>Sati emitovanja ili učestalost objavljivanja medija;</w:t>
      </w:r>
    </w:p>
    <w:p w:rsidR="007E27B2" w:rsidRDefault="001D3309">
      <w:pPr>
        <w:spacing w:before="240" w:after="240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·</w:t>
      </w:r>
      <w:r>
        <w:rPr>
          <w:rFonts w:ascii="Times New Roman" w:eastAsia="Times New Roman" w:hAnsi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sz w:val="20"/>
          <w:szCs w:val="20"/>
        </w:rPr>
        <w:t xml:space="preserve">Vrsta medija, ciljna </w:t>
      </w:r>
      <w:r>
        <w:rPr>
          <w:rFonts w:ascii="Arial" w:eastAsia="Arial" w:hAnsi="Arial" w:cs="Arial"/>
          <w:sz w:val="20"/>
          <w:szCs w:val="20"/>
        </w:rPr>
        <w:t xml:space="preserve">publika i njihov procenjeni uticaj na javnost i 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političku elitu; i</w:t>
      </w:r>
    </w:p>
    <w:p w:rsidR="007E27B2" w:rsidRDefault="001D3309">
      <w:pPr>
        <w:spacing w:before="240" w:after="240"/>
        <w:ind w:left="8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·</w:t>
      </w:r>
      <w:r>
        <w:rPr>
          <w:rFonts w:ascii="Times New Roman" w:eastAsia="Times New Roman" w:hAnsi="Times New Roman"/>
          <w:sz w:val="14"/>
          <w:szCs w:val="14"/>
        </w:rPr>
        <w:t xml:space="preserve">         </w:t>
      </w:r>
      <w:r>
        <w:rPr>
          <w:rFonts w:ascii="Arial" w:eastAsia="Arial" w:hAnsi="Arial" w:cs="Arial"/>
          <w:sz w:val="20"/>
          <w:szCs w:val="20"/>
        </w:rPr>
        <w:t>Broj medija posebno namenjenih etničkim/jezičkim manjinama koje žive u zemlji.</w:t>
      </w:r>
    </w:p>
    <w:p w:rsidR="007E27B2" w:rsidRDefault="001D3309">
      <w:pPr>
        <w:spacing w:before="240" w:after="240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 je se REM pridržavao napred navedenih principa, a na koje se poziva u svom izveštaju, uzorak pružalaca medijskih usluga koje je monitorisao trebao je da uključi kanale na oba kablovska operatera koji imaju naglašene informativne programe. Tako su pored </w:t>
      </w:r>
      <w:r>
        <w:rPr>
          <w:rFonts w:ascii="Arial" w:eastAsia="Arial" w:hAnsi="Arial" w:cs="Arial"/>
          <w:sz w:val="20"/>
          <w:szCs w:val="20"/>
        </w:rPr>
        <w:t xml:space="preserve">N1 i Nove (SBB), odnosnoi Insajdera (SBB i MTS), predmet monitoringa morali da budu i neki od kanala koji se emituju samo na MTS-u (Tanjuga, Euronewsa, K1, TV Kurir), koji je u državnom vlasništvu. </w:t>
      </w:r>
    </w:p>
    <w:p w:rsidR="007E27B2" w:rsidRDefault="007E27B2">
      <w:pPr>
        <w:spacing w:before="240" w:after="240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:rsidR="007E27B2" w:rsidRDefault="007E27B2">
      <w:pPr>
        <w:spacing w:before="240" w:after="240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:rsidR="007E27B2" w:rsidRDefault="007E27B2">
      <w:pPr>
        <w:spacing w:before="240" w:after="240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:rsidR="007E27B2" w:rsidRDefault="007E27B2">
      <w:pPr>
        <w:spacing w:before="240" w:after="240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:rsidR="007E27B2" w:rsidRDefault="001D3309">
      <w:pPr>
        <w:spacing w:before="240" w:after="240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U prilog našoj sugestiji ide činjenica je posmatračka misija ODIHR-a poštujući navedene principe za svoj monitoring formirala uzorak pružalaca medijskih usluga koji su činili javni servisi RTS1 i RTV1, zatim privatni TV kanali sa nacionalnom pokrivenošću T</w:t>
      </w:r>
      <w:r>
        <w:rPr>
          <w:rFonts w:ascii="Arial" w:eastAsia="Arial" w:hAnsi="Arial" w:cs="Arial"/>
          <w:sz w:val="20"/>
          <w:szCs w:val="20"/>
        </w:rPr>
        <w:t>V B92, Hepi TV, RTV Pink i TV Prva, ali i kablovski  kanali sa oba kablovska operatera Euronews Srbija, Insajder TV, TV N1, TV Nova S, Kurir TV i TV Vesti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5"/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7E27B2" w:rsidRDefault="001D3309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3-</w:t>
      </w:r>
      <w:r>
        <w:rPr>
          <w:rFonts w:ascii="Times New Roman" w:eastAsia="Times New Roman" w:hAnsi="Times New Roman"/>
          <w:sz w:val="14"/>
          <w:szCs w:val="14"/>
        </w:rPr>
        <w:t xml:space="preserve">     </w:t>
      </w:r>
      <w:r>
        <w:rPr>
          <w:rFonts w:ascii="Arial" w:eastAsia="Arial" w:hAnsi="Arial" w:cs="Arial"/>
          <w:sz w:val="20"/>
          <w:szCs w:val="20"/>
        </w:rPr>
        <w:t>Metodologijom koju je REM razvio za potrebe monitoringa umesto da analitička jedinica mon</w:t>
      </w:r>
      <w:r>
        <w:rPr>
          <w:rFonts w:ascii="Arial" w:eastAsia="Arial" w:hAnsi="Arial" w:cs="Arial"/>
          <w:sz w:val="20"/>
          <w:szCs w:val="20"/>
        </w:rPr>
        <w:t>itoringa bude akter, odnosno učesnik izbornog procesa, kako je to definisano u OSCE vodiču za monitorng medija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6"/>
      </w:r>
      <w:r>
        <w:rPr>
          <w:rFonts w:ascii="Arial" w:eastAsia="Arial" w:hAnsi="Arial" w:cs="Arial"/>
          <w:sz w:val="20"/>
          <w:szCs w:val="20"/>
        </w:rPr>
        <w:t xml:space="preserve"> na koji se REM poziva, u izveštaju je analitička jedinica monitoringa  medijski prilog. Ovo znači da su teme priloga one teme koje akter navodi </w:t>
      </w:r>
      <w:r>
        <w:rPr>
          <w:rFonts w:ascii="Arial" w:eastAsia="Arial" w:hAnsi="Arial" w:cs="Arial"/>
          <w:sz w:val="20"/>
          <w:szCs w:val="20"/>
        </w:rPr>
        <w:t>u svom aktivnom, tj. neposrednom predstavljaju, a ne samo medij, odnosno novinar. Jedan prilog može imati više tema, odnosno čak i jedan akter može u okviru jednog priloga da se bavi sa više tema.</w:t>
      </w:r>
    </w:p>
    <w:p w:rsidR="007E27B2" w:rsidRDefault="001D3309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4-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Suprotno metodologiji OSCE-a, na koju se REM poziva, u i</w:t>
      </w:r>
      <w:r>
        <w:rPr>
          <w:rFonts w:ascii="Arial" w:eastAsia="Arial" w:hAnsi="Arial" w:cs="Arial"/>
          <w:sz w:val="20"/>
          <w:szCs w:val="20"/>
        </w:rPr>
        <w:t>zveštaju ima podataka o vremenu i tonalitetu za svakog posmatranog aktera, a to znači ne samo za svaku izbornu listu i kandidata za predsednika republike već i za državne funkcionere, tj. predstavnike izvršne (predsednik, premijer i ministri, predsednik sk</w:t>
      </w:r>
      <w:r>
        <w:rPr>
          <w:rFonts w:ascii="Arial" w:eastAsia="Arial" w:hAnsi="Arial" w:cs="Arial"/>
          <w:sz w:val="20"/>
          <w:szCs w:val="20"/>
        </w:rPr>
        <w:t xml:space="preserve">upštine i poslanici). Ovo posebno važi u situaciji kada je predsednik Republike na najglednijim pružaocima medijskih usluga najzastupljeniji akter od svih javnih funkcionera. </w:t>
      </w:r>
    </w:p>
    <w:tbl>
      <w:tblPr>
        <w:tblStyle w:val="a"/>
        <w:tblW w:w="9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40"/>
        <w:gridCol w:w="3060"/>
        <w:gridCol w:w="2550"/>
        <w:gridCol w:w="3030"/>
      </w:tblGrid>
      <w:tr w:rsidR="007E27B2">
        <w:trPr>
          <w:cantSplit/>
          <w:trHeight w:val="770"/>
          <w:tblHeader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7B2" w:rsidRDefault="001D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7B2" w:rsidRDefault="001D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Ukupno vreme za javne funkcionere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7B2" w:rsidRDefault="001D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Ukupno vreme za predsednika Republike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7B2" w:rsidRDefault="001D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Proce</w:t>
            </w:r>
            <w:r>
              <w:rPr>
                <w:rFonts w:ascii="Arial" w:eastAsia="Arial" w:hAnsi="Arial" w:cs="Arial"/>
                <w:sz w:val="20"/>
                <w:szCs w:val="20"/>
              </w:rPr>
              <w:t>nat učešća predsednika Republike u vremenu javnih funkcionera</w:t>
            </w:r>
          </w:p>
        </w:tc>
      </w:tr>
      <w:tr w:rsidR="007E27B2">
        <w:trPr>
          <w:cantSplit/>
          <w:trHeight w:val="500"/>
          <w:tblHeader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7B2" w:rsidRDefault="001D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RTS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7B2" w:rsidRDefault="001D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12:41:06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7B2" w:rsidRDefault="001D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8:32:14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7B2" w:rsidRDefault="001D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67%</w:t>
            </w:r>
          </w:p>
        </w:tc>
      </w:tr>
      <w:tr w:rsidR="007E27B2">
        <w:trPr>
          <w:cantSplit/>
          <w:trHeight w:val="500"/>
          <w:tblHeader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7B2" w:rsidRDefault="001D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Pink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7B2" w:rsidRDefault="001D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37:43:54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7B2" w:rsidRDefault="001D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32:59:45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7B2" w:rsidRDefault="001D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87%</w:t>
            </w:r>
          </w:p>
        </w:tc>
      </w:tr>
      <w:tr w:rsidR="007E27B2">
        <w:trPr>
          <w:cantSplit/>
          <w:trHeight w:val="500"/>
          <w:tblHeader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7B2" w:rsidRDefault="001D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Happy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7B2" w:rsidRDefault="001D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16:32:37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7B2" w:rsidRDefault="001D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7:39:39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7B2" w:rsidRDefault="001D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46%</w:t>
            </w:r>
          </w:p>
        </w:tc>
      </w:tr>
      <w:tr w:rsidR="007E27B2">
        <w:trPr>
          <w:cantSplit/>
          <w:trHeight w:val="500"/>
          <w:tblHeader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7B2" w:rsidRDefault="001D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Prva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7B2" w:rsidRDefault="001D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42:01:56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7B2" w:rsidRDefault="001D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8:04:28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7B2" w:rsidRDefault="001D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19%</w:t>
            </w:r>
          </w:p>
        </w:tc>
      </w:tr>
      <w:tr w:rsidR="007E27B2">
        <w:trPr>
          <w:cantSplit/>
          <w:trHeight w:val="500"/>
          <w:tblHeader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7B2" w:rsidRDefault="001D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B92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7B2" w:rsidRDefault="001D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34:16:18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7B2" w:rsidRDefault="001D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10:44:29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7B2" w:rsidRDefault="001D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31%</w:t>
            </w:r>
          </w:p>
        </w:tc>
      </w:tr>
    </w:tbl>
    <w:p w:rsidR="00D31DB2" w:rsidRDefault="00D31DB2">
      <w:pPr>
        <w:spacing w:before="240" w:after="240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:rsidR="00D31DB2" w:rsidRDefault="00D31DB2">
      <w:pPr>
        <w:spacing w:before="240" w:after="240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:rsidR="00D31DB2" w:rsidRDefault="00D31DB2">
      <w:pPr>
        <w:spacing w:before="240" w:after="240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:rsidR="007E27B2" w:rsidRDefault="001D3309">
      <w:pPr>
        <w:spacing w:before="240" w:after="240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U OSCE vodiču se na 42 strani naglašava da monitori medija u svojim analizama treba da utvrde “Da li vladini funkcioneri imaju koristi od prevelike prednosti koja je rezultat opširnog izveštavanja onjihovim službenim funkcijama? Da li mediji izveštavaju o </w:t>
      </w:r>
      <w:r>
        <w:rPr>
          <w:rFonts w:ascii="Arial" w:eastAsia="Arial" w:hAnsi="Arial" w:cs="Arial"/>
          <w:sz w:val="20"/>
          <w:szCs w:val="20"/>
        </w:rPr>
        <w:t>njihovim aktivnostima nekritički, naglašavajući samo postignute uspehe, a ignorišući neuspehe?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7"/>
      </w:r>
      <w:r>
        <w:rPr>
          <w:rFonts w:ascii="Arial" w:eastAsia="Arial" w:hAnsi="Arial" w:cs="Arial"/>
          <w:sz w:val="20"/>
          <w:szCs w:val="20"/>
        </w:rPr>
        <w:t xml:space="preserve"> Način za to je utvrđivanje tonaliteta izveštvanja medija o javnim funkcionerima.</w:t>
      </w:r>
    </w:p>
    <w:p w:rsidR="007E27B2" w:rsidRDefault="001D3309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5-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Iz opisa REM-ove metodologije se ne vidi da li su akteri koji su monitoris</w:t>
      </w:r>
      <w:r>
        <w:rPr>
          <w:rFonts w:ascii="Arial" w:eastAsia="Arial" w:hAnsi="Arial" w:cs="Arial"/>
          <w:sz w:val="20"/>
          <w:szCs w:val="20"/>
        </w:rPr>
        <w:t>ani, monitorisani samo neposredno (kada oni govore) ili i posredno (kada o njima neko drugi govori). U OSCE vodiču za monitoring medija koji REM navodi se razlika izmedju posredno i neposrednog predstavljanja. U posmatračkim misijama ODIHR-a meri se i jedn</w:t>
      </w:r>
      <w:r>
        <w:rPr>
          <w:rFonts w:ascii="Arial" w:eastAsia="Arial" w:hAnsi="Arial" w:cs="Arial"/>
          <w:sz w:val="20"/>
          <w:szCs w:val="20"/>
        </w:rPr>
        <w:t>o i drugo, tj postoji tzv. „duplo vreme predstavljanja“, koje se deli na vreme kada akter priča pozitivno, negativno ili neutralno o sebi i na vreme kada neki drugi akter priča o pozitivno, negativno ili neutralno o njemu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8"/>
      </w:r>
      <w:r>
        <w:rPr>
          <w:rFonts w:ascii="Arial" w:eastAsia="Arial" w:hAnsi="Arial" w:cs="Arial"/>
          <w:sz w:val="20"/>
          <w:szCs w:val="20"/>
        </w:rPr>
        <w:t>.</w:t>
      </w:r>
    </w:p>
    <w:p w:rsidR="007E27B2" w:rsidRDefault="001D3309">
      <w:pPr>
        <w:spacing w:before="240" w:after="240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Ako je REM primenio ono što je n</w:t>
      </w:r>
      <w:r>
        <w:rPr>
          <w:rFonts w:ascii="Arial" w:eastAsia="Arial" w:hAnsi="Arial" w:cs="Arial"/>
          <w:sz w:val="20"/>
          <w:szCs w:val="20"/>
        </w:rPr>
        <w:t>aveo u izveštaju „</w:t>
      </w:r>
      <w:r>
        <w:rPr>
          <w:rFonts w:ascii="Arial" w:eastAsia="Arial" w:hAnsi="Arial" w:cs="Arial"/>
          <w:i/>
          <w:sz w:val="20"/>
          <w:szCs w:val="20"/>
        </w:rPr>
        <w:t>Ukoliko je učesnik izborne kampanje u nekom izbornom prilogu pozitivno, negativno ili neutralno pričao na pojedinu temu, taj prilog klasifikuje se kao pozitivan, negativan ili neutralan. Takođe, ako je neki od učesnika izborne kampanje po</w:t>
      </w:r>
      <w:r>
        <w:rPr>
          <w:rFonts w:ascii="Arial" w:eastAsia="Arial" w:hAnsi="Arial" w:cs="Arial"/>
          <w:i/>
          <w:sz w:val="20"/>
          <w:szCs w:val="20"/>
        </w:rPr>
        <w:t>zitivno negativno ili neutralno pričao o drugom subjektu (učesniku izborne kampanje), taj prilog se klasifikuje kao pozitivan, negativan ili neutralan, što je u temi definisano kao: „pozitivno, negativno, ili neutralno o… (dotičnom subjektu, učesniku izbor</w:t>
      </w:r>
      <w:r>
        <w:rPr>
          <w:rFonts w:ascii="Arial" w:eastAsia="Arial" w:hAnsi="Arial" w:cs="Arial"/>
          <w:i/>
          <w:sz w:val="20"/>
          <w:szCs w:val="20"/>
        </w:rPr>
        <w:t>ne kampanje)“,</w:t>
      </w:r>
      <w:r>
        <w:rPr>
          <w:rFonts w:ascii="Arial" w:eastAsia="Arial" w:hAnsi="Arial" w:cs="Arial"/>
          <w:sz w:val="20"/>
          <w:szCs w:val="20"/>
        </w:rPr>
        <w:t xml:space="preserve"> možemo da zaključimo da je REM neprecizno sproveo monitoring pružalaca medijskih usluga posmatrano iz vizure međunarodno uporedive metodologije čije su principe definisali  Venecijska komisija, ODHIR-a i Direktora za ljudska prava Evropske k</w:t>
      </w:r>
      <w:r>
        <w:rPr>
          <w:rFonts w:ascii="Arial" w:eastAsia="Arial" w:hAnsi="Arial" w:cs="Arial"/>
          <w:sz w:val="20"/>
          <w:szCs w:val="20"/>
        </w:rPr>
        <w:t>omsije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9"/>
      </w:r>
    </w:p>
    <w:p w:rsidR="007E27B2" w:rsidRDefault="001D3309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6 -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 prilog napred navedenom kada je u pitanju merenje tonaliteta izveštavanja i njegova primena vidljiva je u na nivou tema, gde se meša ton izveštavanja i tema izveštavanja. Tako se među temama javlja negativno ili pozitivno kononitanje aktera kao što su vl</w:t>
      </w:r>
      <w:r>
        <w:rPr>
          <w:rFonts w:ascii="Arial" w:eastAsia="Arial" w:hAnsi="Arial" w:cs="Arial"/>
          <w:sz w:val="20"/>
          <w:szCs w:val="20"/>
        </w:rPr>
        <w:t xml:space="preserve">ast, opozicija, Ponoš, Djilas, Janković i EU . </w:t>
      </w:r>
    </w:p>
    <w:p w:rsidR="007E27B2" w:rsidRDefault="001D3309">
      <w:pPr>
        <w:spacing w:before="240" w:after="240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Tako, ako se gledaju nalazi izveštavanja pružalaca medijskih usluga iz vizure tonaliteta izveštavanja o medijima dobija se jedna slika, a kada se pogledaju teme, posebno one koje su u sebi sadržale tonalitet </w:t>
      </w:r>
      <w:r>
        <w:rPr>
          <w:rFonts w:ascii="Arial" w:eastAsia="Arial" w:hAnsi="Arial" w:cs="Arial"/>
          <w:sz w:val="20"/>
          <w:szCs w:val="20"/>
        </w:rPr>
        <w:t xml:space="preserve">dobija se drugačija slika. Na ovaj način se sa dva indikatora meri jedna te ista pojava, tonalitet izveštavanja, što stvara veoma nisku konzinstentnost rezultata istraživanja i posledično tome njihovo tumačenje zavisi od onoga ko ih interpretira.    </w:t>
      </w:r>
    </w:p>
    <w:p w:rsidR="007E27B2" w:rsidRDefault="007E27B2">
      <w:pPr>
        <w:spacing w:before="240" w:after="240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:rsidR="007E27B2" w:rsidRDefault="007E27B2">
      <w:pPr>
        <w:jc w:val="both"/>
        <w:rPr>
          <w:rFonts w:ascii="Arial" w:eastAsia="Arial" w:hAnsi="Arial" w:cs="Arial"/>
          <w:sz w:val="24"/>
          <w:szCs w:val="24"/>
        </w:rPr>
      </w:pPr>
    </w:p>
    <w:p w:rsidR="007E27B2" w:rsidRDefault="007E27B2">
      <w:pPr>
        <w:jc w:val="both"/>
        <w:rPr>
          <w:rFonts w:ascii="Arial" w:eastAsia="Arial" w:hAnsi="Arial" w:cs="Arial"/>
          <w:b/>
          <w:sz w:val="28"/>
          <w:szCs w:val="28"/>
        </w:rPr>
      </w:pPr>
    </w:p>
    <w:sectPr w:rsidR="007E27B2" w:rsidSect="007E27B2">
      <w:headerReference w:type="default" r:id="rId7"/>
      <w:footerReference w:type="default" r:id="rId8"/>
      <w:pgSz w:w="12240" w:h="15840"/>
      <w:pgMar w:top="1800" w:right="1440" w:bottom="1440" w:left="1440" w:header="360" w:footer="54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309" w:rsidRDefault="001D3309" w:rsidP="007E27B2">
      <w:pPr>
        <w:spacing w:after="0" w:line="240" w:lineRule="auto"/>
      </w:pPr>
      <w:r>
        <w:separator/>
      </w:r>
    </w:p>
  </w:endnote>
  <w:endnote w:type="continuationSeparator" w:id="1">
    <w:p w:rsidR="001D3309" w:rsidRDefault="001D3309" w:rsidP="007E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7B2" w:rsidRDefault="001D33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t>Biro za društvena istraživanja, Maršala Birjuzova 38 11000 Beograd, PIB 104129836, Matični broj 17637452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309" w:rsidRDefault="001D3309" w:rsidP="007E27B2">
      <w:pPr>
        <w:spacing w:after="0" w:line="240" w:lineRule="auto"/>
      </w:pPr>
      <w:r>
        <w:separator/>
      </w:r>
    </w:p>
  </w:footnote>
  <w:footnote w:type="continuationSeparator" w:id="1">
    <w:p w:rsidR="001D3309" w:rsidRDefault="001D3309" w:rsidP="007E27B2">
      <w:pPr>
        <w:spacing w:after="0" w:line="240" w:lineRule="auto"/>
      </w:pPr>
      <w:r>
        <w:continuationSeparator/>
      </w:r>
    </w:p>
  </w:footnote>
  <w:footnote w:id="2">
    <w:p w:rsidR="007E27B2" w:rsidRDefault="001D3309">
      <w:pPr>
        <w:spacing w:after="0" w:line="240" w:lineRule="auto"/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 </w:t>
      </w:r>
      <w:hyperlink r:id="rId1">
        <w:r>
          <w:rPr>
            <w:color w:val="1155CC"/>
            <w:sz w:val="20"/>
            <w:szCs w:val="20"/>
            <w:u w:val="single"/>
          </w:rPr>
          <w:t>http://www.rem.rs/uploads/files/PDF-VESTI/Izvestaj_o_nadzoru_emitera_Izbori_2012..pdf</w:t>
        </w:r>
      </w:hyperlink>
      <w:r>
        <w:rPr>
          <w:sz w:val="20"/>
          <w:szCs w:val="20"/>
        </w:rPr>
        <w:t xml:space="preserve"> </w:t>
      </w:r>
    </w:p>
  </w:footnote>
  <w:footnote w:id="3">
    <w:p w:rsidR="007E27B2" w:rsidRDefault="001D3309">
      <w:pPr>
        <w:spacing w:after="0" w:line="240" w:lineRule="auto"/>
        <w:rPr>
          <w:sz w:val="14"/>
          <w:szCs w:val="14"/>
        </w:rPr>
      </w:pPr>
      <w:r>
        <w:rPr>
          <w:rStyle w:val="FootnoteReference"/>
        </w:rPr>
        <w:footnoteRef/>
      </w:r>
      <w:r>
        <w:rPr>
          <w:sz w:val="14"/>
          <w:szCs w:val="14"/>
        </w:rPr>
        <w:t xml:space="preserve"> </w:t>
      </w:r>
      <w:hyperlink r:id="rId2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https://www.osce.org/files/f/documents/b/1/384831_0.pdf</w:t>
        </w:r>
      </w:hyperlink>
      <w:r>
        <w:rPr>
          <w:rFonts w:ascii="Arial" w:eastAsia="Arial" w:hAnsi="Arial" w:cs="Arial"/>
          <w:sz w:val="18"/>
          <w:szCs w:val="18"/>
        </w:rPr>
        <w:t xml:space="preserve"> (strana 39)</w:t>
      </w:r>
    </w:p>
  </w:footnote>
  <w:footnote w:id="4">
    <w:p w:rsidR="007E27B2" w:rsidRDefault="001D3309">
      <w:pPr>
        <w:spacing w:after="0" w:line="240" w:lineRule="auto"/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 O metodologiji monitoringa medija tokom izbora detaljnije </w:t>
      </w:r>
      <w:hyperlink r:id="rId3">
        <w:r>
          <w:rPr>
            <w:color w:val="1155CC"/>
            <w:sz w:val="20"/>
            <w:szCs w:val="20"/>
            <w:u w:val="single"/>
          </w:rPr>
          <w:t>https://www.venice.coe.int/webforms/documents/?pdf=CDL-AD(2009)031-e</w:t>
        </w:r>
      </w:hyperlink>
      <w:r>
        <w:rPr>
          <w:sz w:val="20"/>
          <w:szCs w:val="20"/>
        </w:rPr>
        <w:t xml:space="preserve"> </w:t>
      </w:r>
    </w:p>
  </w:footnote>
  <w:footnote w:id="5">
    <w:p w:rsidR="007E27B2" w:rsidRDefault="001D3309">
      <w:pPr>
        <w:spacing w:after="0" w:line="240" w:lineRule="auto"/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 I p</w:t>
      </w:r>
      <w:r>
        <w:rPr>
          <w:sz w:val="20"/>
          <w:szCs w:val="20"/>
        </w:rPr>
        <w:t>ored toga što je Srbija imala tri tela, REM, Privremeno nadzorno telo i Nadzorni odbor Narodne skupštine Republike Srbije, niko nije vršio monitoring štampaniji medija čiji je monitoring obavezni deo monitoringa medija tokom izbora.</w:t>
      </w:r>
    </w:p>
  </w:footnote>
  <w:footnote w:id="6">
    <w:p w:rsidR="007E27B2" w:rsidRDefault="001D3309">
      <w:pPr>
        <w:spacing w:after="0" w:line="240" w:lineRule="auto"/>
        <w:rPr>
          <w:sz w:val="14"/>
          <w:szCs w:val="14"/>
        </w:rPr>
      </w:pPr>
      <w:r>
        <w:rPr>
          <w:rStyle w:val="FootnoteReference"/>
        </w:rPr>
        <w:footnoteRef/>
      </w:r>
      <w:r>
        <w:rPr>
          <w:sz w:val="14"/>
          <w:szCs w:val="14"/>
        </w:rPr>
        <w:t xml:space="preserve"> </w:t>
      </w:r>
      <w:hyperlink r:id="rId4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https://www.osce.org/files/f/documents/b/1/384831_0.pdf</w:t>
        </w:r>
      </w:hyperlink>
      <w:r>
        <w:rPr>
          <w:rFonts w:ascii="Arial" w:eastAsia="Arial" w:hAnsi="Arial" w:cs="Arial"/>
          <w:sz w:val="18"/>
          <w:szCs w:val="18"/>
        </w:rPr>
        <w:t xml:space="preserve"> (strana 40) </w:t>
      </w:r>
    </w:p>
  </w:footnote>
  <w:footnote w:id="7">
    <w:p w:rsidR="007E27B2" w:rsidRDefault="001D3309">
      <w:pPr>
        <w:spacing w:after="0" w:line="240" w:lineRule="auto"/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 </w:t>
      </w:r>
      <w:hyperlink r:id="rId5">
        <w:r>
          <w:rPr>
            <w:color w:val="1155CC"/>
            <w:sz w:val="20"/>
            <w:szCs w:val="20"/>
            <w:u w:val="single"/>
          </w:rPr>
          <w:t>https://www.osce.org/files/f/docu</w:t>
        </w:r>
        <w:r>
          <w:rPr>
            <w:color w:val="1155CC"/>
            <w:sz w:val="20"/>
            <w:szCs w:val="20"/>
            <w:u w:val="single"/>
          </w:rPr>
          <w:t>ments/b/1/384831_0.pdf</w:t>
        </w:r>
      </w:hyperlink>
      <w:r>
        <w:rPr>
          <w:sz w:val="20"/>
          <w:szCs w:val="20"/>
        </w:rPr>
        <w:t xml:space="preserve"> (strana 42)</w:t>
      </w:r>
    </w:p>
  </w:footnote>
  <w:footnote w:id="8">
    <w:p w:rsidR="007E27B2" w:rsidRDefault="001D3309">
      <w:pPr>
        <w:spacing w:after="0" w:line="240" w:lineRule="auto"/>
        <w:rPr>
          <w:sz w:val="16"/>
          <w:szCs w:val="16"/>
        </w:rPr>
      </w:pPr>
      <w:r>
        <w:rPr>
          <w:rStyle w:val="FootnoteReference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Takođe, iz metodologije se ne vidi da li je merena medijska zastupljenost i ton prestavljanja aktera koji su bili u prilogu „samo na slici“ i posredno predstavljeni, jer i to je deo posrednog predstavljanja i treba da bude meren.</w:t>
      </w:r>
    </w:p>
  </w:footnote>
  <w:footnote w:id="9">
    <w:p w:rsidR="007E27B2" w:rsidRDefault="001D3309">
      <w:pPr>
        <w:spacing w:after="0" w:line="240" w:lineRule="auto"/>
        <w:rPr>
          <w:sz w:val="16"/>
          <w:szCs w:val="16"/>
        </w:rPr>
      </w:pPr>
      <w:r>
        <w:rPr>
          <w:rStyle w:val="FootnoteReference"/>
        </w:rPr>
        <w:footnoteRef/>
      </w:r>
      <w:r>
        <w:rPr>
          <w:sz w:val="16"/>
          <w:szCs w:val="16"/>
        </w:rPr>
        <w:t xml:space="preserve"> </w:t>
      </w:r>
      <w:hyperlink r:id="rId6">
        <w:r>
          <w:rPr>
            <w:color w:val="1155CC"/>
            <w:sz w:val="16"/>
            <w:szCs w:val="16"/>
            <w:u w:val="single"/>
          </w:rPr>
          <w:t>https://www.venice.coe.int/webforms/documents/?pdf=CDL-AD(2009)031-e</w:t>
        </w:r>
      </w:hyperlink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7B2" w:rsidRDefault="001D33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1571876" cy="618955"/>
          <wp:effectExtent l="0" t="0" r="0" b="0"/>
          <wp:docPr id="10" name="image1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876" cy="61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7B2"/>
    <w:rsid w:val="001D3309"/>
    <w:rsid w:val="007E27B2"/>
    <w:rsid w:val="00D3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5CC"/>
    <w:rPr>
      <w:rFonts w:cs="Times New Roman"/>
    </w:rPr>
  </w:style>
  <w:style w:type="paragraph" w:styleId="Heading1">
    <w:name w:val="heading 1"/>
    <w:basedOn w:val="normal0"/>
    <w:next w:val="normal0"/>
    <w:rsid w:val="007E27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E27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E27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E27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E27B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E27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E27B2"/>
  </w:style>
  <w:style w:type="paragraph" w:styleId="Title">
    <w:name w:val="Title"/>
    <w:basedOn w:val="normal0"/>
    <w:next w:val="normal0"/>
    <w:rsid w:val="007E27B2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Resume Title,Citation List,Ha,List Paragraph1,Body,List Paragraph_Table bullets,Lettre d'introduction,Paragrafo elenco,1st level - Bullet List Paragraph,Bullet,Paragraph"/>
    <w:basedOn w:val="Normal"/>
    <w:link w:val="ListParagraphChar"/>
    <w:uiPriority w:val="34"/>
    <w:qFormat/>
    <w:rsid w:val="00D505CC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Resume Title Char,Citation List Char,Ha Char,List Paragraph1 Char,Body Char,List Paragraph_Table bullets Char,Lettre d'introduction Char,Paragrafo elenco Char,1st level - Bullet List Paragraph Char,Bullet Char,Paragraph Char"/>
    <w:basedOn w:val="DefaultParagraphFont"/>
    <w:link w:val="ListParagraph"/>
    <w:uiPriority w:val="34"/>
    <w:locked/>
    <w:rsid w:val="00D505C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66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7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6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78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F70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70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09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096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096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C39C1"/>
    <w:pPr>
      <w:spacing w:after="0" w:line="240" w:lineRule="auto"/>
    </w:pPr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11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11A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11A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D11A5"/>
    <w:rPr>
      <w:color w:val="0563C1" w:themeColor="hyperlink"/>
      <w:u w:val="single"/>
    </w:rPr>
  </w:style>
  <w:style w:type="paragraph" w:styleId="Subtitle">
    <w:name w:val="Subtitle"/>
    <w:basedOn w:val="Normal"/>
    <w:next w:val="Normal"/>
    <w:rsid w:val="007E27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E27B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venice.coe.int/webforms/documents/?pdf=CDL-AD(2009)031-e" TargetMode="External"/><Relationship Id="rId2" Type="http://schemas.openxmlformats.org/officeDocument/2006/relationships/hyperlink" Target="https://www.osce.org/files/f/documents/b/1/384831_0.pdf" TargetMode="External"/><Relationship Id="rId1" Type="http://schemas.openxmlformats.org/officeDocument/2006/relationships/hyperlink" Target="http://www.rem.rs/uploads/files/PDF-VESTI/Izvestaj_o_nadzoru_emitera_Izbori_2012..pdf" TargetMode="External"/><Relationship Id="rId6" Type="http://schemas.openxmlformats.org/officeDocument/2006/relationships/hyperlink" Target="https://www.venice.coe.int/webforms/documents/?pdf=CDL-AD(2009)031-e" TargetMode="External"/><Relationship Id="rId5" Type="http://schemas.openxmlformats.org/officeDocument/2006/relationships/hyperlink" Target="https://www.osce.org/files/f/documents/b/1/384831_0.pdf" TargetMode="External"/><Relationship Id="rId4" Type="http://schemas.openxmlformats.org/officeDocument/2006/relationships/hyperlink" Target="https://www.osce.org/files/f/documents/b/1/384831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aQYQYkLjvhLaIAccxfIYcdydEA==">AMUW2mUMh3WMw/nHXUXoo58ohe91Sce2VhOGDpkGfFUvK8OjQ+rADADcKOKFl269/rgWyCA12C6bqDpDx+UG7ppZkeC65tILagQaeJYz7rE2W2rwc9AQ7ec=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993</Words>
  <Characters>5661</Characters>
  <Application>Microsoft Office Word</Application>
  <DocSecurity>0</DocSecurity>
  <Lines>47</Lines>
  <Paragraphs>13</Paragraphs>
  <ScaleCrop>false</ScaleCrop>
  <Company>rg-adguard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 Latic</dc:creator>
  <cp:lastModifiedBy>Admin</cp:lastModifiedBy>
  <cp:revision>2</cp:revision>
  <dcterms:created xsi:type="dcterms:W3CDTF">2022-08-13T17:35:00Z</dcterms:created>
  <dcterms:modified xsi:type="dcterms:W3CDTF">2022-08-13T17:35:00Z</dcterms:modified>
</cp:coreProperties>
</file>